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3067" w14:textId="321F410E" w:rsidR="002149C4" w:rsidRDefault="002149C4" w:rsidP="002149C4">
      <w:pPr>
        <w:jc w:val="center"/>
        <w:rPr>
          <w:b/>
          <w:bCs/>
        </w:rPr>
      </w:pPr>
      <w:r>
        <w:rPr>
          <w:b/>
          <w:bCs/>
        </w:rPr>
        <w:t>FOI Request - Major Haemorrhaging in Hospital Protocols – Update to guidelines</w:t>
      </w:r>
    </w:p>
    <w:p w14:paraId="739C80C2" w14:textId="77777777" w:rsidR="002149C4" w:rsidRDefault="002149C4" w:rsidP="002149C4">
      <w:r>
        <w:t xml:space="preserve">Dear Sir/Madam, </w:t>
      </w:r>
    </w:p>
    <w:p w14:paraId="56048C29" w14:textId="77777777" w:rsidR="002149C4" w:rsidRDefault="002149C4" w:rsidP="002149C4">
      <w:r>
        <w:t xml:space="preserve">The guidelines listed below were supplied in your FOI response FOI5020 received on the 1/31/2022. </w:t>
      </w:r>
    </w:p>
    <w:p w14:paraId="0781DA23" w14:textId="77777777" w:rsidR="002149C4" w:rsidRDefault="002149C4" w:rsidP="002149C4">
      <w:r>
        <w:t xml:space="preserve">Please could you confirm </w:t>
      </w:r>
      <w:proofErr w:type="gramStart"/>
      <w:r>
        <w:t>whether or not</w:t>
      </w:r>
      <w:proofErr w:type="gramEnd"/>
      <w:r>
        <w:t xml:space="preserve"> these guidelines are still in use and if they have been updated since the initial request. If they have been </w:t>
      </w:r>
      <w:proofErr w:type="gramStart"/>
      <w:r>
        <w:t>updated</w:t>
      </w:r>
      <w:proofErr w:type="gramEnd"/>
      <w:r>
        <w:t xml:space="preserve"> please could an updated copy be supplied. </w:t>
      </w:r>
    </w:p>
    <w:p w14:paraId="1B9A3102" w14:textId="77777777" w:rsidR="002149C4" w:rsidRDefault="002149C4" w:rsidP="002149C4">
      <w:pPr>
        <w:rPr>
          <w:lang w:val="en-US"/>
        </w:rPr>
      </w:pPr>
      <w:r>
        <w:rPr>
          <w:lang w:val="en-US"/>
        </w:rPr>
        <w:t xml:space="preserve">If any new protocols for the management of major </w:t>
      </w:r>
      <w:proofErr w:type="spellStart"/>
      <w:r>
        <w:rPr>
          <w:lang w:val="en-US"/>
        </w:rPr>
        <w:t>haemorrhage</w:t>
      </w:r>
      <w:proofErr w:type="spellEnd"/>
      <w:r>
        <w:rPr>
          <w:lang w:val="en-US"/>
        </w:rPr>
        <w:t xml:space="preserve">, the rapid identification of patients taking anticoagulants and the reversal of anticoagulation agents have been published since our initial request please could a copy be supplied. </w:t>
      </w:r>
    </w:p>
    <w:tbl>
      <w:tblPr>
        <w:tblW w:w="1563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6175"/>
        <w:gridCol w:w="2309"/>
        <w:gridCol w:w="1538"/>
        <w:gridCol w:w="1923"/>
        <w:gridCol w:w="2922"/>
      </w:tblGrid>
      <w:tr w:rsidR="002149C4" w14:paraId="4705167B" w14:textId="77777777" w:rsidTr="00DB209C">
        <w:trPr>
          <w:trHeight w:val="836"/>
        </w:trPr>
        <w:tc>
          <w:tcPr>
            <w:tcW w:w="7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C75D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VB Doc ID</w:t>
            </w:r>
          </w:p>
        </w:tc>
        <w:tc>
          <w:tcPr>
            <w:tcW w:w="61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DFA6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Document</w:t>
            </w:r>
          </w:p>
        </w:tc>
        <w:tc>
          <w:tcPr>
            <w:tcW w:w="230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CB3C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Publication Date</w:t>
            </w:r>
          </w:p>
        </w:tc>
        <w:tc>
          <w:tcPr>
            <w:tcW w:w="153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6DE0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Review Date</w:t>
            </w:r>
          </w:p>
        </w:tc>
        <w:tc>
          <w:tcPr>
            <w:tcW w:w="1923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033E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this document still valid? (Yes/No)</w:t>
            </w:r>
          </w:p>
        </w:tc>
        <w:tc>
          <w:tcPr>
            <w:tcW w:w="292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9CC6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Has this document been </w:t>
            </w:r>
          </w:p>
          <w:p w14:paraId="19E02556" w14:textId="18DC75EC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updated since 1/31/2022</w:t>
            </w:r>
            <w:r>
              <w:t>? (Yes/</w:t>
            </w:r>
            <w:proofErr w:type="gramStart"/>
            <w:r>
              <w:t>No)*</w:t>
            </w:r>
            <w:proofErr w:type="gramEnd"/>
          </w:p>
        </w:tc>
      </w:tr>
      <w:tr w:rsidR="002149C4" w14:paraId="51CBA980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360A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7048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F0CF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WALTON - Management of Massive Transfusion Guidelines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DA24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01/08/18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5F9C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08/01/21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B6EA" w14:textId="723AD661" w:rsidR="002149C4" w:rsidRPr="00DB209C" w:rsidRDefault="00DB209C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DB209C">
              <w:rPr>
                <w:color w:val="4472C4" w:themeColor="accent1"/>
                <w:lang w:val="en-US"/>
              </w:rPr>
              <w:t>Y</w:t>
            </w:r>
            <w:r>
              <w:rPr>
                <w:color w:val="4472C4" w:themeColor="accent1"/>
                <w:lang w:val="en-US"/>
              </w:rPr>
              <w:t>es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27A5" w14:textId="446769F2" w:rsidR="002149C4" w:rsidRPr="00DB209C" w:rsidRDefault="00DB209C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DB209C">
              <w:rPr>
                <w:color w:val="4472C4" w:themeColor="accent1"/>
                <w:lang w:val="en-US"/>
              </w:rPr>
              <w:t>No</w:t>
            </w:r>
          </w:p>
        </w:tc>
      </w:tr>
      <w:tr w:rsidR="002149C4" w14:paraId="1622B5A7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750F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7049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86F4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WALTON - DABIGATRAN REVERSAL WITH IDARUCIZUMAB GUIDELINE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3BED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07/01/20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9B30" w14:textId="77777777" w:rsidR="002149C4" w:rsidRDefault="002149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07/01/21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3ABB" w14:textId="7BCC8324" w:rsidR="002149C4" w:rsidRPr="00DB209C" w:rsidRDefault="00DB209C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DB209C">
              <w:rPr>
                <w:color w:val="4472C4" w:themeColor="accent1"/>
                <w:lang w:val="en-US"/>
              </w:rPr>
              <w:t>No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FDEA" w14:textId="2E67121F" w:rsidR="002149C4" w:rsidRPr="00DB209C" w:rsidRDefault="00DB209C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DB209C">
              <w:rPr>
                <w:color w:val="4472C4" w:themeColor="accent1"/>
                <w:lang w:val="en-US"/>
              </w:rPr>
              <w:t>Yes</w:t>
            </w:r>
          </w:p>
        </w:tc>
      </w:tr>
      <w:tr w:rsidR="002149C4" w14:paraId="6DFE4D32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919F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6551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A520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8828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1D9B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8A30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  <w:tr w:rsidR="002149C4" w14:paraId="3A588E79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575F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BA0C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0C5E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9DB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59E2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E5FA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  <w:tr w:rsidR="002149C4" w14:paraId="7C2E791E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BF3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DADF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5E94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04C5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CB77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5C2A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  <w:tr w:rsidR="002149C4" w14:paraId="333D29E1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6724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91A5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7F2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70CF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A37F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0100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  <w:tr w:rsidR="002149C4" w14:paraId="12CA2A59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5E26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C799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12B9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A64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673C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3886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  <w:tr w:rsidR="002149C4" w14:paraId="2765DD9A" w14:textId="77777777" w:rsidTr="00DB209C">
        <w:trPr>
          <w:trHeight w:val="274"/>
        </w:trPr>
        <w:tc>
          <w:tcPr>
            <w:tcW w:w="7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5E9D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9569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B808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F169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0F35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115D" w14:textId="77777777" w:rsidR="002149C4" w:rsidRDefault="002149C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9F314FF" w14:textId="432EF9E4" w:rsidR="002149C4" w:rsidRDefault="002149C4" w:rsidP="002149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please could an updated version of the document be supplied.</w:t>
      </w:r>
    </w:p>
    <w:p w14:paraId="7C35765E" w14:textId="3310D6A9" w:rsidR="00DB209C" w:rsidRPr="00DB209C" w:rsidRDefault="00DB209C" w:rsidP="00DB209C">
      <w:pPr>
        <w:pStyle w:val="ListParagraph"/>
        <w:numPr>
          <w:ilvl w:val="0"/>
          <w:numId w:val="1"/>
        </w:num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DABIGATRAN Reversal now included in Management of Bleeding and Reversal of Anticoagulation in Anticoagulated Patients Policy (attached)</w:t>
      </w:r>
    </w:p>
    <w:p w14:paraId="5B337E4D" w14:textId="77777777" w:rsidR="00671582" w:rsidRDefault="00671582"/>
    <w:sectPr w:rsidR="00671582" w:rsidSect="00214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5B44"/>
    <w:multiLevelType w:val="hybridMultilevel"/>
    <w:tmpl w:val="0E66A246"/>
    <w:lvl w:ilvl="0" w:tplc="33D83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C4"/>
    <w:rsid w:val="002149C4"/>
    <w:rsid w:val="00671582"/>
    <w:rsid w:val="00910121"/>
    <w:rsid w:val="00DB209C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1308"/>
  <w15:chartTrackingRefBased/>
  <w15:docId w15:val="{E81A161C-5BA3-49B1-BFA8-6B59404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C4"/>
    <w:pPr>
      <w:spacing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2023-01-16T15:35:00Z</dcterms:created>
  <dcterms:modified xsi:type="dcterms:W3CDTF">2023-02-03T08:30:00Z</dcterms:modified>
</cp:coreProperties>
</file>